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63" w:rsidRDefault="00C11163" w:rsidP="00C11163">
      <w:pPr>
        <w:spacing w:line="560" w:lineRule="exact"/>
        <w:rPr>
          <w:rStyle w:val="a6"/>
          <w:rFonts w:ascii="Times New Roman" w:eastAsia="黑体" w:hAnsi="Times New Roman"/>
          <w:b w:val="0"/>
          <w:color w:val="000000"/>
          <w:sz w:val="32"/>
          <w:szCs w:val="32"/>
        </w:rPr>
      </w:pPr>
      <w:r>
        <w:rPr>
          <w:rStyle w:val="a6"/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Style w:val="a6"/>
          <w:rFonts w:ascii="Times New Roman" w:eastAsia="黑体" w:hAnsi="Times New Roman"/>
          <w:color w:val="000000"/>
          <w:sz w:val="32"/>
          <w:szCs w:val="32"/>
        </w:rPr>
        <w:t>2</w:t>
      </w:r>
    </w:p>
    <w:p w:rsidR="00C11163" w:rsidRDefault="00C11163" w:rsidP="00C11163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C11163" w:rsidRDefault="00C11163" w:rsidP="00C11163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 xml:space="preserve"> </w:t>
      </w:r>
      <w:r>
        <w:rPr>
          <w:rFonts w:ascii="Times New Roman" w:eastAsia="方正小标宋简体" w:hAnsi="Times New Roman"/>
          <w:sz w:val="36"/>
          <w:szCs w:val="36"/>
        </w:rPr>
        <w:t>多功能运动场场地基础建设要求</w:t>
      </w:r>
    </w:p>
    <w:p w:rsidR="00C11163" w:rsidRDefault="00C11163" w:rsidP="00C11163">
      <w:pPr>
        <w:spacing w:line="440" w:lineRule="exact"/>
        <w:rPr>
          <w:rFonts w:eastAsia="仿宋"/>
          <w:b/>
          <w:bCs/>
          <w:sz w:val="32"/>
          <w:szCs w:val="32"/>
        </w:rPr>
      </w:pPr>
    </w:p>
    <w:p w:rsidR="00C11163" w:rsidRDefault="00C11163" w:rsidP="00C11163">
      <w:pPr>
        <w:spacing w:line="620" w:lineRule="exact"/>
        <w:ind w:firstLineChars="199" w:firstLine="637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一、场地基础及面积</w:t>
      </w:r>
    </w:p>
    <w:p w:rsidR="00C11163" w:rsidRDefault="00C11163" w:rsidP="00C11163">
      <w:pPr>
        <w:spacing w:line="240" w:lineRule="atLeas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（一）混凝土硬化面积</w:t>
      </w:r>
      <w:r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Times New Roman" w:eastAsia="仿宋_GB2312" w:hAnsi="Times New Roman" w:hint="eastAsia"/>
          <w:sz w:val="32"/>
          <w:szCs w:val="32"/>
        </w:rPr>
        <w:t>×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eastAsia="仿宋"/>
          <w:sz w:val="32"/>
          <w:szCs w:val="32"/>
        </w:rPr>
        <w:t>米用于多功能运动场</w:t>
      </w:r>
      <w:r>
        <w:rPr>
          <w:rFonts w:eastAsia="仿宋"/>
          <w:sz w:val="32"/>
          <w:szCs w:val="32"/>
        </w:rPr>
        <w:t>,</w:t>
      </w:r>
      <w:r>
        <w:rPr>
          <w:rFonts w:eastAsia="仿宋"/>
          <w:sz w:val="32"/>
          <w:szCs w:val="32"/>
        </w:rPr>
        <w:t>合计面积</w:t>
      </w:r>
      <w:r>
        <w:rPr>
          <w:rFonts w:ascii="Times New Roman" w:eastAsia="仿宋_GB2312" w:hAnsi="Times New Roman" w:hint="eastAsia"/>
          <w:sz w:val="32"/>
          <w:szCs w:val="32"/>
        </w:rPr>
        <w:t>700</w:t>
      </w:r>
      <w:r>
        <w:rPr>
          <w:rFonts w:eastAsia="仿宋"/>
          <w:sz w:val="32"/>
          <w:szCs w:val="32"/>
        </w:rPr>
        <w:t>平方米，其中围网占地面积</w:t>
      </w:r>
      <w:r>
        <w:rPr>
          <w:rFonts w:ascii="Times New Roman" w:eastAsia="仿宋_GB2312" w:hAnsi="Times New Roman" w:hint="eastAsia"/>
          <w:sz w:val="32"/>
          <w:szCs w:val="32"/>
        </w:rPr>
        <w:t>34</w:t>
      </w:r>
      <w:r>
        <w:rPr>
          <w:rFonts w:eastAsia="仿宋"/>
          <w:sz w:val="32"/>
          <w:szCs w:val="32"/>
        </w:rPr>
        <w:t>米</w:t>
      </w:r>
      <w:r>
        <w:rPr>
          <w:rFonts w:ascii="Times New Roman" w:eastAsia="仿宋_GB2312" w:hAnsi="Times New Roman" w:hint="eastAsia"/>
          <w:sz w:val="32"/>
          <w:szCs w:val="32"/>
        </w:rPr>
        <w:t>×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eastAsia="仿宋"/>
          <w:sz w:val="32"/>
          <w:szCs w:val="32"/>
        </w:rPr>
        <w:t>米</w:t>
      </w:r>
      <w:r>
        <w:rPr>
          <w:rFonts w:ascii="Times New Roman" w:eastAsia="仿宋_GB2312" w:hAnsi="Times New Roman" w:hint="eastAsia"/>
          <w:sz w:val="32"/>
          <w:szCs w:val="32"/>
        </w:rPr>
        <w:t>=646</w:t>
      </w:r>
      <w:r>
        <w:rPr>
          <w:rFonts w:eastAsia="仿宋"/>
          <w:sz w:val="32"/>
          <w:szCs w:val="32"/>
        </w:rPr>
        <w:t>平方米；场地必须为标准的长方形，施工及测量方法如图一，该部分场地需做</w:t>
      </w:r>
      <w:r>
        <w:rPr>
          <w:rFonts w:ascii="Times New Roman" w:eastAsia="仿宋_GB2312" w:hAnsi="Times New Roman" w:hint="eastAsia"/>
          <w:sz w:val="32"/>
          <w:szCs w:val="32"/>
        </w:rPr>
        <w:t>250mm</w:t>
      </w:r>
      <w:r>
        <w:rPr>
          <w:rFonts w:eastAsia="仿宋"/>
          <w:sz w:val="32"/>
          <w:szCs w:val="32"/>
        </w:rPr>
        <w:t>厚结构层。其中，碎石稳定层</w:t>
      </w:r>
      <w:r>
        <w:rPr>
          <w:rFonts w:ascii="Times New Roman" w:eastAsia="仿宋_GB2312" w:hAnsi="Times New Roman" w:hint="eastAsia"/>
          <w:sz w:val="32"/>
          <w:szCs w:val="32"/>
        </w:rPr>
        <w:t>100mm</w:t>
      </w:r>
      <w:r>
        <w:rPr>
          <w:rFonts w:eastAsia="仿宋"/>
          <w:sz w:val="32"/>
          <w:szCs w:val="32"/>
        </w:rPr>
        <w:t>，水泥混凝土厚度</w:t>
      </w:r>
      <w:r>
        <w:rPr>
          <w:rFonts w:ascii="Times New Roman" w:eastAsia="仿宋_GB2312" w:hAnsi="Times New Roman" w:hint="eastAsia"/>
          <w:sz w:val="32"/>
          <w:szCs w:val="32"/>
        </w:rPr>
        <w:t>150mm</w:t>
      </w:r>
      <w:r>
        <w:rPr>
          <w:rFonts w:eastAsia="仿宋"/>
          <w:sz w:val="32"/>
          <w:szCs w:val="32"/>
        </w:rPr>
        <w:t>(</w:t>
      </w:r>
      <w:r>
        <w:rPr>
          <w:rFonts w:eastAsia="仿宋"/>
          <w:sz w:val="32"/>
          <w:szCs w:val="32"/>
        </w:rPr>
        <w:t>混凝土强度等级为</w:t>
      </w:r>
      <w:r>
        <w:rPr>
          <w:rFonts w:ascii="Times New Roman" w:eastAsia="仿宋_GB2312" w:hAnsi="Times New Roman" w:hint="eastAsia"/>
          <w:sz w:val="32"/>
          <w:szCs w:val="32"/>
        </w:rPr>
        <w:t>C25</w:t>
      </w:r>
      <w:r>
        <w:rPr>
          <w:rFonts w:eastAsia="仿宋"/>
          <w:sz w:val="32"/>
          <w:szCs w:val="32"/>
        </w:rPr>
        <w:t>以上</w:t>
      </w:r>
      <w:r>
        <w:rPr>
          <w:rFonts w:eastAsia="仿宋"/>
          <w:sz w:val="32"/>
          <w:szCs w:val="32"/>
        </w:rPr>
        <w:t>)</w:t>
      </w:r>
      <w:r>
        <w:rPr>
          <w:rFonts w:eastAsia="仿宋"/>
          <w:sz w:val="32"/>
          <w:szCs w:val="32"/>
        </w:rPr>
        <w:t>。混凝土地面的厚度须达到图纸设计要求；混凝土表面应平整、无积水现象，无破损、坑洞、不均匀沉降、起沙、起壳等现象。</w:t>
      </w:r>
    </w:p>
    <w:p w:rsidR="00C11163" w:rsidRDefault="00C11163" w:rsidP="00C11163">
      <w:pPr>
        <w:spacing w:line="240" w:lineRule="atLeas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混凝土在推铺、拍平后，一定要用振动机振实、压平。混凝土面层施工前应洒水湿润，浇倒时，平整度用</w:t>
      </w:r>
      <w:r>
        <w:rPr>
          <w:rFonts w:ascii="Times New Roman" w:eastAsia="仿宋_GB2312" w:hAnsi="Times New Roman" w:hint="eastAsia"/>
          <w:sz w:val="32"/>
          <w:szCs w:val="32"/>
        </w:rPr>
        <w:t>U</w:t>
      </w:r>
      <w:r>
        <w:rPr>
          <w:rFonts w:eastAsia="仿宋"/>
          <w:sz w:val="32"/>
          <w:szCs w:val="32"/>
        </w:rPr>
        <w:t>型钢槽进行控制，分场分块施工同时需加钢筋（直径</w:t>
      </w:r>
      <w:r>
        <w:rPr>
          <w:rFonts w:ascii="Times New Roman" w:eastAsia="仿宋_GB2312" w:hAnsi="Times New Roman" w:hint="eastAsia"/>
          <w:sz w:val="32"/>
          <w:szCs w:val="32"/>
        </w:rPr>
        <w:t>14mm</w:t>
      </w:r>
      <w:r>
        <w:rPr>
          <w:rFonts w:eastAsia="仿宋"/>
          <w:sz w:val="32"/>
          <w:szCs w:val="32"/>
        </w:rPr>
        <w:t>螺纹钢）在施工缝衔接，避免球场热胀冷缩开裂严重，要求表面原浆收光。待收水后做整体粉光，表面要求平整，不能太光滑，不能起粉状，需要毛光面，整体平整度必须达到建筑标准（</w:t>
      </w:r>
      <w:r>
        <w:rPr>
          <w:rFonts w:ascii="Times New Roman" w:eastAsia="仿宋_GB2312" w:hAnsi="Times New Roman" w:hint="eastAsia"/>
          <w:sz w:val="32"/>
          <w:szCs w:val="32"/>
        </w:rPr>
        <w:t>3m</w:t>
      </w:r>
      <w:r>
        <w:rPr>
          <w:rFonts w:eastAsia="仿宋"/>
          <w:sz w:val="32"/>
          <w:szCs w:val="32"/>
        </w:rPr>
        <w:t>不超过</w:t>
      </w:r>
      <w:r>
        <w:rPr>
          <w:rFonts w:ascii="Times New Roman" w:eastAsia="仿宋_GB2312" w:hAnsi="Times New Roman" w:hint="eastAsia"/>
          <w:sz w:val="32"/>
          <w:szCs w:val="32"/>
        </w:rPr>
        <w:t>3mm</w:t>
      </w:r>
      <w:r>
        <w:rPr>
          <w:rFonts w:eastAsia="仿宋"/>
          <w:sz w:val="32"/>
          <w:szCs w:val="32"/>
        </w:rPr>
        <w:t>积水）。混凝土完工后开始切</w:t>
      </w:r>
      <w:r>
        <w:rPr>
          <w:rFonts w:ascii="Times New Roman" w:eastAsia="仿宋_GB2312" w:hAnsi="Times New Roman" w:hint="eastAsia"/>
          <w:sz w:val="32"/>
          <w:szCs w:val="32"/>
        </w:rPr>
        <w:t>4500mm</w:t>
      </w:r>
      <w:r>
        <w:rPr>
          <w:rFonts w:ascii="Times New Roman" w:eastAsia="仿宋_GB2312" w:hAnsi="Times New Roman" w:hint="eastAsia"/>
          <w:sz w:val="32"/>
          <w:szCs w:val="32"/>
        </w:rPr>
        <w:t>×</w:t>
      </w:r>
      <w:r>
        <w:rPr>
          <w:rFonts w:ascii="Times New Roman" w:eastAsia="仿宋_GB2312" w:hAnsi="Times New Roman" w:hint="eastAsia"/>
          <w:sz w:val="32"/>
          <w:szCs w:val="32"/>
        </w:rPr>
        <w:t>3000mm</w:t>
      </w:r>
      <w:r>
        <w:rPr>
          <w:rFonts w:ascii="Times New Roman" w:eastAsia="仿宋_GB2312" w:hAnsi="Times New Roman" w:hint="eastAsia"/>
          <w:sz w:val="32"/>
          <w:szCs w:val="32"/>
        </w:rPr>
        <w:t>×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～</w:t>
      </w:r>
      <w:r>
        <w:rPr>
          <w:rFonts w:ascii="Times New Roman" w:eastAsia="仿宋_GB2312" w:hAnsi="Times New Roman" w:hint="eastAsia"/>
          <w:sz w:val="32"/>
          <w:szCs w:val="32"/>
        </w:rPr>
        <w:t>30mm</w:t>
      </w:r>
      <w:r>
        <w:rPr>
          <w:rFonts w:eastAsia="仿宋"/>
          <w:sz w:val="32"/>
          <w:szCs w:val="32"/>
        </w:rPr>
        <w:t>伸缩缝，混凝土不能少于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eastAsia="仿宋"/>
          <w:sz w:val="32"/>
          <w:szCs w:val="32"/>
        </w:rPr>
        <w:t>天的水养和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eastAsia="仿宋"/>
          <w:sz w:val="32"/>
          <w:szCs w:val="32"/>
        </w:rPr>
        <w:t>天干养，确定含水率低于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eastAsia="仿宋"/>
          <w:sz w:val="32"/>
          <w:szCs w:val="32"/>
        </w:rPr>
        <w:t>％才进行球场材施工。</w:t>
      </w:r>
    </w:p>
    <w:p w:rsidR="00C11163" w:rsidRDefault="00C11163" w:rsidP="00C11163">
      <w:pPr>
        <w:spacing w:line="240" w:lineRule="atLeas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球场基础表面应有良好排水设施，泄水坡度为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‰</w:t>
      </w:r>
      <w:r>
        <w:rPr>
          <w:rFonts w:eastAsia="仿宋"/>
          <w:sz w:val="32"/>
          <w:szCs w:val="32"/>
        </w:rPr>
        <w:t>左右，基础地面完工场地向内侧应有千分之三排水坡度向四周排水，雨后不可有低洼积水处。</w:t>
      </w:r>
    </w:p>
    <w:p w:rsidR="00C11163" w:rsidRDefault="00C11163" w:rsidP="00C11163">
      <w:pPr>
        <w:spacing w:line="6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lastRenderedPageBreak/>
        <w:t>（二）在多功能球场周边安装一套室外健身器材</w:t>
      </w:r>
      <w:r>
        <w:rPr>
          <w:rFonts w:eastAsia="仿宋"/>
          <w:sz w:val="32"/>
          <w:szCs w:val="32"/>
        </w:rPr>
        <w:t>,</w:t>
      </w:r>
      <w:r>
        <w:rPr>
          <w:rFonts w:eastAsia="仿宋"/>
          <w:sz w:val="32"/>
          <w:szCs w:val="32"/>
        </w:rPr>
        <w:t>合计面积约</w:t>
      </w:r>
      <w:r>
        <w:rPr>
          <w:rFonts w:ascii="Times New Roman" w:eastAsia="仿宋_GB2312" w:hAnsi="Times New Roman" w:hint="eastAsia"/>
          <w:sz w:val="32"/>
          <w:szCs w:val="32"/>
        </w:rPr>
        <w:t>150</w:t>
      </w:r>
      <w:r>
        <w:rPr>
          <w:rFonts w:eastAsia="仿宋"/>
          <w:sz w:val="32"/>
          <w:szCs w:val="32"/>
        </w:rPr>
        <w:t>平方米。</w:t>
      </w:r>
    </w:p>
    <w:p w:rsidR="00C11163" w:rsidRDefault="00C11163" w:rsidP="00C11163">
      <w:pPr>
        <w:spacing w:line="6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（三）场地基础施工时，按如图</w:t>
      </w:r>
      <w:r>
        <w:rPr>
          <w:rFonts w:eastAsia="仿宋" w:hint="eastAsia"/>
          <w:sz w:val="32"/>
          <w:szCs w:val="32"/>
        </w:rPr>
        <w:t>一、</w:t>
      </w:r>
      <w:r>
        <w:rPr>
          <w:rFonts w:eastAsia="仿宋"/>
          <w:sz w:val="32"/>
          <w:szCs w:val="32"/>
        </w:rPr>
        <w:t>二所示</w:t>
      </w:r>
    </w:p>
    <w:p w:rsidR="00C11163" w:rsidRDefault="00C11163" w:rsidP="00C11163">
      <w:pPr>
        <w:jc w:val="center"/>
        <w:rPr>
          <w:rFonts w:eastAsia="仿宋"/>
          <w:bCs/>
          <w:sz w:val="40"/>
          <w:szCs w:val="32"/>
        </w:rPr>
      </w:pPr>
      <w:r>
        <w:rPr>
          <w:noProof/>
        </w:rPr>
        <w:drawing>
          <wp:inline distT="0" distB="0" distL="114300" distR="114300">
            <wp:extent cx="5170170" cy="3427095"/>
            <wp:effectExtent l="0" t="0" r="11430" b="190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17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63" w:rsidRDefault="00C11163" w:rsidP="00C11163">
      <w:pPr>
        <w:spacing w:line="500" w:lineRule="exact"/>
        <w:ind w:firstLineChars="200" w:firstLine="643"/>
        <w:jc w:val="center"/>
        <w:rPr>
          <w:rFonts w:eastAsia="仿宋"/>
          <w:b/>
          <w:sz w:val="32"/>
        </w:rPr>
      </w:pPr>
      <w:r>
        <w:rPr>
          <w:rFonts w:eastAsia="仿宋"/>
          <w:b/>
          <w:sz w:val="32"/>
        </w:rPr>
        <w:t>图一</w:t>
      </w:r>
      <w:r>
        <w:rPr>
          <w:rFonts w:eastAsia="仿宋" w:hint="eastAsia"/>
          <w:b/>
          <w:sz w:val="32"/>
        </w:rPr>
        <w:t>：</w:t>
      </w:r>
      <w:r>
        <w:rPr>
          <w:rFonts w:eastAsia="仿宋"/>
          <w:b/>
          <w:sz w:val="32"/>
        </w:rPr>
        <w:t>场地基础施工及测量方法</w:t>
      </w:r>
    </w:p>
    <w:p w:rsidR="00C11163" w:rsidRDefault="00C11163" w:rsidP="00C11163">
      <w:pPr>
        <w:spacing w:line="500" w:lineRule="exact"/>
        <w:ind w:firstLineChars="200" w:firstLine="643"/>
        <w:jc w:val="center"/>
        <w:rPr>
          <w:rFonts w:eastAsia="仿宋"/>
          <w:b/>
          <w:sz w:val="32"/>
        </w:rPr>
      </w:pPr>
    </w:p>
    <w:p w:rsidR="00C11163" w:rsidRDefault="00C11163" w:rsidP="00C11163">
      <w:pPr>
        <w:jc w:val="center"/>
        <w:rPr>
          <w:rFonts w:eastAsia="仿宋"/>
          <w:sz w:val="32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5109210" cy="3375660"/>
            <wp:effectExtent l="0" t="0" r="1524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921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63" w:rsidRDefault="00C11163" w:rsidP="00C11163">
      <w:pPr>
        <w:spacing w:line="500" w:lineRule="exact"/>
        <w:ind w:firstLineChars="200" w:firstLine="643"/>
        <w:jc w:val="center"/>
        <w:rPr>
          <w:rFonts w:eastAsia="仿宋"/>
          <w:b/>
          <w:sz w:val="32"/>
          <w:szCs w:val="28"/>
        </w:rPr>
      </w:pPr>
      <w:r>
        <w:rPr>
          <w:rFonts w:eastAsia="仿宋"/>
          <w:b/>
          <w:sz w:val="32"/>
          <w:szCs w:val="28"/>
        </w:rPr>
        <w:t>图二</w:t>
      </w:r>
      <w:r>
        <w:rPr>
          <w:rFonts w:eastAsia="仿宋" w:hint="eastAsia"/>
          <w:b/>
          <w:sz w:val="32"/>
          <w:szCs w:val="28"/>
        </w:rPr>
        <w:t>：</w:t>
      </w:r>
      <w:r>
        <w:rPr>
          <w:rFonts w:eastAsia="仿宋"/>
          <w:b/>
          <w:sz w:val="32"/>
          <w:szCs w:val="28"/>
        </w:rPr>
        <w:t>篮球架</w:t>
      </w:r>
      <w:r>
        <w:rPr>
          <w:rFonts w:eastAsia="仿宋" w:hint="eastAsia"/>
          <w:b/>
          <w:sz w:val="32"/>
          <w:szCs w:val="28"/>
        </w:rPr>
        <w:t>位置</w:t>
      </w:r>
      <w:r>
        <w:rPr>
          <w:rFonts w:eastAsia="仿宋"/>
          <w:b/>
          <w:sz w:val="32"/>
          <w:szCs w:val="28"/>
        </w:rPr>
        <w:t>预留示意图</w:t>
      </w:r>
    </w:p>
    <w:p w:rsidR="00C11163" w:rsidRDefault="00C11163" w:rsidP="00C11163">
      <w:pPr>
        <w:spacing w:line="500" w:lineRule="exact"/>
        <w:ind w:firstLineChars="200" w:firstLine="643"/>
        <w:jc w:val="center"/>
        <w:rPr>
          <w:rFonts w:eastAsia="仿宋"/>
          <w:b/>
          <w:sz w:val="32"/>
          <w:szCs w:val="28"/>
        </w:rPr>
      </w:pPr>
    </w:p>
    <w:p w:rsidR="00C11163" w:rsidRDefault="00C11163" w:rsidP="00C11163">
      <w:pPr>
        <w:ind w:firstLineChars="199" w:firstLine="637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二、照明系统</w:t>
      </w:r>
      <w:r>
        <w:rPr>
          <w:rFonts w:eastAsia="黑体" w:hint="eastAsia"/>
          <w:sz w:val="32"/>
          <w:szCs w:val="32"/>
        </w:rPr>
        <w:t>和立柱点位要求</w:t>
      </w:r>
    </w:p>
    <w:p w:rsidR="00C11163" w:rsidRDefault="00C11163" w:rsidP="00C11163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（一）为保证日后线路检修需要，电缆线管应在场边布置（离场边</w:t>
      </w:r>
      <w:r>
        <w:rPr>
          <w:rFonts w:ascii="Times New Roman" w:eastAsia="仿宋_GB2312" w:hAnsi="Times New Roman" w:hint="eastAsia"/>
          <w:sz w:val="32"/>
          <w:szCs w:val="32"/>
        </w:rPr>
        <w:t>500mm,</w:t>
      </w:r>
      <w:r>
        <w:rPr>
          <w:rFonts w:eastAsia="仿宋"/>
          <w:sz w:val="32"/>
          <w:szCs w:val="32"/>
        </w:rPr>
        <w:t>如图三所示），埋置深度不小于</w:t>
      </w:r>
      <w:r>
        <w:rPr>
          <w:rFonts w:ascii="Times New Roman" w:eastAsia="仿宋_GB2312" w:hAnsi="Times New Roman" w:hint="eastAsia"/>
          <w:sz w:val="32"/>
          <w:szCs w:val="32"/>
        </w:rPr>
        <w:t>30cm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hint="eastAsia"/>
          <w:sz w:val="32"/>
          <w:szCs w:val="32"/>
        </w:rPr>
        <w:t>PVC</w:t>
      </w:r>
      <w:r>
        <w:rPr>
          <w:rFonts w:eastAsia="仿宋"/>
          <w:sz w:val="32"/>
          <w:szCs w:val="32"/>
        </w:rPr>
        <w:t>管为不小于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eastAsia="仿宋"/>
          <w:sz w:val="32"/>
          <w:szCs w:val="32"/>
        </w:rPr>
        <w:t>分的管，管侧用细砂垫实，上部覆盖</w:t>
      </w:r>
      <w:r>
        <w:rPr>
          <w:rFonts w:ascii="Times New Roman" w:eastAsia="仿宋_GB2312" w:hAnsi="Times New Roman" w:hint="eastAsia"/>
          <w:sz w:val="32"/>
          <w:szCs w:val="32"/>
        </w:rPr>
        <w:t>5cm</w:t>
      </w:r>
      <w:r>
        <w:rPr>
          <w:rFonts w:eastAsia="仿宋"/>
          <w:sz w:val="32"/>
          <w:szCs w:val="32"/>
        </w:rPr>
        <w:t>细砂，然后再浇筑混凝土。电缆线线径为</w:t>
      </w:r>
      <w:r>
        <w:rPr>
          <w:rFonts w:ascii="Times New Roman" w:eastAsia="仿宋_GB2312" w:hAnsi="Times New Roman" w:hint="eastAsia"/>
          <w:sz w:val="32"/>
          <w:szCs w:val="32"/>
        </w:rPr>
        <w:t>3*4</w:t>
      </w:r>
      <w:r>
        <w:rPr>
          <w:rFonts w:eastAsia="仿宋"/>
          <w:sz w:val="32"/>
          <w:szCs w:val="32"/>
        </w:rPr>
        <w:t>平方毫米。</w:t>
      </w:r>
    </w:p>
    <w:p w:rsidR="00C11163" w:rsidRDefault="00C11163" w:rsidP="00C11163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（二）预埋线管时，遇灯柱位置时将线管露出混凝土面层</w:t>
      </w:r>
      <w:r>
        <w:rPr>
          <w:rFonts w:ascii="Times New Roman" w:eastAsia="仿宋_GB2312" w:hAnsi="Times New Roman" w:hint="eastAsia"/>
          <w:sz w:val="32"/>
          <w:szCs w:val="32"/>
        </w:rPr>
        <w:t>5-7cm</w:t>
      </w:r>
      <w:r>
        <w:rPr>
          <w:rFonts w:eastAsia="仿宋"/>
          <w:sz w:val="32"/>
          <w:szCs w:val="32"/>
        </w:rPr>
        <w:t>，管口用纸或布堵住，防止异物掉入堵塞管道。（如图四所示）</w:t>
      </w:r>
    </w:p>
    <w:p w:rsidR="00C11163" w:rsidRDefault="00C11163" w:rsidP="00C11163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（三）</w:t>
      </w:r>
      <w:r>
        <w:rPr>
          <w:rFonts w:ascii="Times New Roman" w:eastAsia="仿宋_GB2312" w:hAnsi="Times New Roman" w:hint="eastAsia"/>
          <w:sz w:val="32"/>
          <w:szCs w:val="32"/>
        </w:rPr>
        <w:t>PVC</w:t>
      </w:r>
      <w:r>
        <w:rPr>
          <w:rFonts w:eastAsia="仿宋"/>
          <w:sz w:val="32"/>
          <w:szCs w:val="32"/>
        </w:rPr>
        <w:t>管及电缆线需按图三及图四所示，布置到位，体育设备安装施工班组进场施工时，需提供施工所需的水电。</w:t>
      </w:r>
    </w:p>
    <w:p w:rsidR="00C11163" w:rsidRDefault="00C11163" w:rsidP="00C11163">
      <w:pPr>
        <w:pStyle w:val="a5"/>
        <w:ind w:leftChars="0" w:left="0"/>
        <w:jc w:val="center"/>
        <w:rPr>
          <w:rFonts w:eastAsia="仿宋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>
            <wp:extent cx="5620385" cy="3718560"/>
            <wp:effectExtent l="0" t="0" r="18415" b="1524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0385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63" w:rsidRDefault="00C11163" w:rsidP="00C11163">
      <w:pPr>
        <w:pStyle w:val="a5"/>
        <w:spacing w:afterLines="50"/>
        <w:ind w:leftChars="0" w:left="0"/>
        <w:jc w:val="center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图三：围网、灯柱位置施工图</w:t>
      </w:r>
    </w:p>
    <w:p w:rsidR="00C11163" w:rsidRDefault="00C11163" w:rsidP="00C11163">
      <w:pPr>
        <w:pStyle w:val="a5"/>
        <w:spacing w:afterLines="50"/>
        <w:ind w:leftChars="0" w:left="0"/>
        <w:jc w:val="center"/>
        <w:rPr>
          <w:rFonts w:eastAsia="仿宋"/>
          <w:sz w:val="32"/>
          <w:szCs w:val="32"/>
        </w:rPr>
      </w:pPr>
    </w:p>
    <w:p w:rsidR="00C11163" w:rsidRDefault="00C11163" w:rsidP="00C11163">
      <w:pPr>
        <w:pStyle w:val="a5"/>
        <w:ind w:leftChars="0" w:left="0"/>
        <w:jc w:val="center"/>
        <w:rPr>
          <w:rFonts w:eastAsia="仿宋"/>
          <w:b/>
          <w:sz w:val="32"/>
          <w:szCs w:val="32"/>
        </w:rPr>
      </w:pPr>
      <w:r>
        <w:rPr>
          <w:rFonts w:eastAsia="仿宋"/>
          <w:b/>
          <w:noProof/>
          <w:sz w:val="32"/>
          <w:szCs w:val="32"/>
        </w:rPr>
        <w:drawing>
          <wp:inline distT="0" distB="0" distL="114300" distR="114300">
            <wp:extent cx="5677535" cy="2040890"/>
            <wp:effectExtent l="0" t="0" r="18415" b="16510"/>
            <wp:docPr id="4" name="图片 4" descr="2016场地基础 Model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6场地基础 Model (3)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</a:blip>
                    <a:srcRect t="21700" b="27342"/>
                    <a:stretch>
                      <a:fillRect/>
                    </a:stretch>
                  </pic:blipFill>
                  <pic:spPr>
                    <a:xfrm>
                      <a:off x="0" y="0"/>
                      <a:ext cx="567753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63" w:rsidRDefault="00C11163" w:rsidP="00C11163">
      <w:pPr>
        <w:pStyle w:val="a5"/>
        <w:spacing w:afterLines="50"/>
        <w:ind w:leftChars="0" w:left="0"/>
        <w:jc w:val="center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图</w:t>
      </w:r>
      <w:r>
        <w:rPr>
          <w:rFonts w:eastAsia="仿宋" w:hint="eastAsia"/>
          <w:b/>
          <w:sz w:val="32"/>
          <w:szCs w:val="32"/>
        </w:rPr>
        <w:t>四：</w:t>
      </w:r>
      <w:r>
        <w:rPr>
          <w:rFonts w:eastAsia="仿宋"/>
          <w:b/>
          <w:sz w:val="32"/>
          <w:szCs w:val="32"/>
        </w:rPr>
        <w:t>电缆及</w:t>
      </w:r>
      <w:r>
        <w:rPr>
          <w:rFonts w:ascii="Times New Roman" w:eastAsia="仿宋_GB2312" w:hAnsi="Times New Roman" w:hint="eastAsia"/>
          <w:sz w:val="32"/>
          <w:szCs w:val="32"/>
        </w:rPr>
        <w:t>PVC</w:t>
      </w:r>
      <w:r>
        <w:rPr>
          <w:rFonts w:eastAsia="仿宋"/>
          <w:b/>
          <w:sz w:val="32"/>
          <w:szCs w:val="32"/>
        </w:rPr>
        <w:t>管走线图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73" w:rsidRDefault="00656373" w:rsidP="00C11163">
      <w:pPr>
        <w:spacing w:after="0"/>
      </w:pPr>
      <w:r>
        <w:separator/>
      </w:r>
    </w:p>
  </w:endnote>
  <w:endnote w:type="continuationSeparator" w:id="0">
    <w:p w:rsidR="00656373" w:rsidRDefault="00656373" w:rsidP="00C111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73" w:rsidRDefault="00656373" w:rsidP="00C11163">
      <w:pPr>
        <w:spacing w:after="0"/>
      </w:pPr>
      <w:r>
        <w:separator/>
      </w:r>
    </w:p>
  </w:footnote>
  <w:footnote w:type="continuationSeparator" w:id="0">
    <w:p w:rsidR="00656373" w:rsidRDefault="00656373" w:rsidP="00C1116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56373"/>
    <w:rsid w:val="008B7726"/>
    <w:rsid w:val="00C11163"/>
    <w:rsid w:val="00D31D50"/>
    <w:rsid w:val="00F7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1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16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16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163"/>
    <w:rPr>
      <w:rFonts w:ascii="Tahoma" w:hAnsi="Tahoma"/>
      <w:sz w:val="18"/>
      <w:szCs w:val="18"/>
    </w:rPr>
  </w:style>
  <w:style w:type="paragraph" w:styleId="a5">
    <w:name w:val="Body Text Indent"/>
    <w:basedOn w:val="a"/>
    <w:link w:val="Char1"/>
    <w:qFormat/>
    <w:rsid w:val="00C11163"/>
    <w:pPr>
      <w:widowControl w:val="0"/>
      <w:adjustRightInd/>
      <w:snapToGrid/>
      <w:spacing w:after="120"/>
      <w:ind w:leftChars="200" w:left="42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1">
    <w:name w:val="正文文本缩进 Char"/>
    <w:basedOn w:val="a0"/>
    <w:link w:val="a5"/>
    <w:rsid w:val="00C11163"/>
    <w:rPr>
      <w:rFonts w:ascii="Calibri" w:eastAsia="宋体" w:hAnsi="Calibri" w:cs="Times New Roman"/>
      <w:kern w:val="2"/>
      <w:sz w:val="21"/>
    </w:rPr>
  </w:style>
  <w:style w:type="character" w:styleId="a6">
    <w:name w:val="Strong"/>
    <w:basedOn w:val="a0"/>
    <w:qFormat/>
    <w:rsid w:val="00C11163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C11163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1116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2024-04-16T02:50:00Z</dcterms:modified>
</cp:coreProperties>
</file>